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84" w:rsidRDefault="00C66952">
      <w:pPr>
        <w:pStyle w:val="ConsPlusNormal0"/>
        <w:outlineLvl w:val="0"/>
      </w:pPr>
      <w:r>
        <w:t>Зарегистрировано в Минюсте России 24 апреля 2025 г. N 81963</w:t>
      </w:r>
    </w:p>
    <w:p w:rsidR="006B0984" w:rsidRDefault="006B09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984" w:rsidRDefault="006B0984">
      <w:pPr>
        <w:pStyle w:val="ConsPlusNormal0"/>
      </w:pPr>
    </w:p>
    <w:p w:rsidR="006B0984" w:rsidRDefault="00C66952">
      <w:pPr>
        <w:pStyle w:val="ConsPlusTitle0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6B0984" w:rsidRDefault="00C66952">
      <w:pPr>
        <w:pStyle w:val="ConsPlusTitle0"/>
        <w:jc w:val="center"/>
      </w:pPr>
      <w:r>
        <w:t>И АТОМНОМУ НАДЗОРУ</w:t>
      </w:r>
    </w:p>
    <w:p w:rsidR="006B0984" w:rsidRDefault="006B0984">
      <w:pPr>
        <w:pStyle w:val="ConsPlusTitle0"/>
        <w:jc w:val="center"/>
      </w:pPr>
    </w:p>
    <w:p w:rsidR="006B0984" w:rsidRDefault="00C66952">
      <w:pPr>
        <w:pStyle w:val="ConsPlusTitle0"/>
        <w:jc w:val="center"/>
      </w:pPr>
      <w:r>
        <w:t>ПРИКАЗ</w:t>
      </w:r>
    </w:p>
    <w:p w:rsidR="006B0984" w:rsidRDefault="00C66952">
      <w:pPr>
        <w:pStyle w:val="ConsPlusTitle0"/>
        <w:jc w:val="center"/>
      </w:pPr>
      <w:r>
        <w:t>от 29 января 2025 г. N 29</w:t>
      </w:r>
    </w:p>
    <w:p w:rsidR="006B0984" w:rsidRDefault="006B0984">
      <w:pPr>
        <w:pStyle w:val="ConsPlusTitle0"/>
        <w:jc w:val="center"/>
      </w:pPr>
    </w:p>
    <w:p w:rsidR="006B0984" w:rsidRDefault="00C66952">
      <w:pPr>
        <w:pStyle w:val="ConsPlusTitle0"/>
        <w:jc w:val="center"/>
      </w:pPr>
      <w:r>
        <w:t>О ВНЕСЕНИИ ИЗМЕНЕНИЙ</w:t>
      </w:r>
    </w:p>
    <w:p w:rsidR="006B0984" w:rsidRDefault="00C66952">
      <w:pPr>
        <w:pStyle w:val="ConsPlusTitle0"/>
        <w:jc w:val="center"/>
      </w:pPr>
      <w:r>
        <w:t>В ФЕДЕРАЛЬНЫЕ НОРМЫ И ПРАВИЛА В ОБЛАСТИ ПРОМЫШЛЕННОЙ</w:t>
      </w:r>
    </w:p>
    <w:p w:rsidR="006B0984" w:rsidRDefault="00C66952">
      <w:pPr>
        <w:pStyle w:val="ConsPlusTitle0"/>
        <w:jc w:val="center"/>
      </w:pPr>
      <w:r>
        <w:t>БЕЗОПАСНОСТИ "ПРАВИЛА ПРОВЕДЕНИЯ ЭКСПЕРТИЗЫ ПРОМЫШЛЕННОЙ</w:t>
      </w:r>
    </w:p>
    <w:p w:rsidR="006B0984" w:rsidRDefault="00C66952">
      <w:pPr>
        <w:pStyle w:val="ConsPlusTitle0"/>
        <w:jc w:val="center"/>
      </w:pPr>
      <w:r>
        <w:t>БЕЗОПАСНОСТИ"</w:t>
      </w:r>
      <w:r>
        <w:t>, УТВЕРЖДЕННЫЕ ПРИКАЗОМ ФЕДЕРАЛЬНОЙ СЛУЖБЫ</w:t>
      </w:r>
    </w:p>
    <w:p w:rsidR="006B0984" w:rsidRDefault="00C66952">
      <w:pPr>
        <w:pStyle w:val="ConsPlusTitle0"/>
        <w:jc w:val="center"/>
      </w:pPr>
      <w:r>
        <w:t>ПО ЭКОЛОГИЧЕСКОМУ, ТЕХНОЛОГИЧЕСКОМУ И АТОМНОМУ НАДЗОРУ</w:t>
      </w:r>
    </w:p>
    <w:p w:rsidR="006B0984" w:rsidRDefault="00C66952">
      <w:pPr>
        <w:pStyle w:val="ConsPlusTitle0"/>
        <w:jc w:val="center"/>
      </w:pPr>
      <w:r>
        <w:t>ОТ 20 ОКТЯБРЯ 2020 Г. N 420</w:t>
      </w:r>
    </w:p>
    <w:p w:rsidR="006B0984" w:rsidRDefault="006B0984">
      <w:pPr>
        <w:pStyle w:val="ConsPlusNormal0"/>
        <w:ind w:firstLine="540"/>
        <w:jc w:val="both"/>
      </w:pPr>
    </w:p>
    <w:p w:rsidR="006B0984" w:rsidRDefault="00C66952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пунктом 1 статьи 4</w:t>
        </w:r>
      </w:hyperlink>
      <w:r>
        <w:t xml:space="preserve"> Федер</w:t>
      </w:r>
      <w:r>
        <w:t xml:space="preserve">ального закона от 21 июля 1997 г. N 116-ФЗ "О промышленной безопасности опасных производственных объектов", </w:t>
      </w:r>
      <w:hyperlink r:id="rId8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9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</w:t>
      </w:r>
      <w:r>
        <w:t>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  <w:proofErr w:type="gramEnd"/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 xml:space="preserve">Внести изменения в федеральные </w:t>
      </w:r>
      <w:hyperlink r:id="rId10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проведения экспертизы промышленной безопасности", утвержденные приказом Федеральной службы по экологическому, технологическому и атом</w:t>
      </w:r>
      <w:r>
        <w:t>ному надзору от 20 октября 2020 г. N 420 (зарегистрирован Министерством юстиции Российской Федерации 11 декабря 2020 г., регистрационный N 61391), с изменениями, внесенными приказами Федеральной службы по экологическому, технологическому и атомному надзору</w:t>
      </w:r>
      <w:r>
        <w:t xml:space="preserve"> от 13 апреля</w:t>
      </w:r>
      <w:proofErr w:type="gramEnd"/>
      <w:r>
        <w:t xml:space="preserve"> 2022 г. N 120 (зарегистрирован Министерством юстиции Российской Федерации 6 июня 2022 г., регистрационный N 68752) и от 20 февраля 2024 г. N 60 (зарегистрирован Министерством юстиции Российской Федерации 27 марта 2024 г., регистрационный N 77</w:t>
      </w:r>
      <w:r>
        <w:t xml:space="preserve">649), согласно </w:t>
      </w:r>
      <w:hyperlink w:anchor="P34" w:tooltip="ИЗМЕНЕНИЯ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2. Настоящий приказ вступает в силу с 1 сентября 2025 г. и действует до 1 января 2027 г.</w:t>
      </w:r>
    </w:p>
    <w:p w:rsidR="006B0984" w:rsidRDefault="006B0984">
      <w:pPr>
        <w:pStyle w:val="ConsPlusNormal0"/>
        <w:ind w:firstLine="540"/>
        <w:jc w:val="both"/>
      </w:pPr>
    </w:p>
    <w:p w:rsidR="006B0984" w:rsidRDefault="00C66952">
      <w:pPr>
        <w:pStyle w:val="ConsPlusNormal0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6B0984" w:rsidRDefault="00C66952">
      <w:pPr>
        <w:pStyle w:val="ConsPlusNormal0"/>
        <w:jc w:val="right"/>
      </w:pPr>
      <w:r>
        <w:t>А.В.ДЕМИН</w:t>
      </w:r>
    </w:p>
    <w:p w:rsidR="006B0984" w:rsidRDefault="006B0984">
      <w:pPr>
        <w:pStyle w:val="ConsPlusNormal0"/>
        <w:jc w:val="right"/>
      </w:pPr>
    </w:p>
    <w:p w:rsidR="006B0984" w:rsidRDefault="006B0984">
      <w:pPr>
        <w:pStyle w:val="ConsPlusNormal0"/>
        <w:jc w:val="right"/>
      </w:pPr>
    </w:p>
    <w:p w:rsidR="006B0984" w:rsidRDefault="006B0984">
      <w:pPr>
        <w:pStyle w:val="ConsPlusNormal0"/>
        <w:jc w:val="right"/>
      </w:pPr>
    </w:p>
    <w:p w:rsidR="006B0984" w:rsidRDefault="006B0984">
      <w:pPr>
        <w:pStyle w:val="ConsPlusNormal0"/>
        <w:jc w:val="right"/>
      </w:pPr>
    </w:p>
    <w:p w:rsidR="006B0984" w:rsidRDefault="006B0984">
      <w:pPr>
        <w:pStyle w:val="ConsPlusNormal0"/>
        <w:jc w:val="right"/>
      </w:pPr>
    </w:p>
    <w:p w:rsidR="006B0984" w:rsidRDefault="00C66952">
      <w:pPr>
        <w:pStyle w:val="ConsPlusNormal0"/>
        <w:jc w:val="right"/>
        <w:outlineLvl w:val="0"/>
      </w:pPr>
      <w:r>
        <w:t>Приложение</w:t>
      </w:r>
    </w:p>
    <w:p w:rsidR="006B0984" w:rsidRDefault="00C66952">
      <w:pPr>
        <w:pStyle w:val="ConsPlusNormal0"/>
        <w:jc w:val="right"/>
      </w:pPr>
      <w:r>
        <w:t>к приказу Федеральной службы</w:t>
      </w:r>
    </w:p>
    <w:p w:rsidR="006B0984" w:rsidRDefault="00C66952">
      <w:pPr>
        <w:pStyle w:val="ConsPlusNormal0"/>
        <w:jc w:val="right"/>
      </w:pPr>
      <w:r>
        <w:t>по э</w:t>
      </w:r>
      <w:r>
        <w:t>кологическому, технологическому</w:t>
      </w:r>
    </w:p>
    <w:p w:rsidR="006B0984" w:rsidRDefault="00C66952">
      <w:pPr>
        <w:pStyle w:val="ConsPlusNormal0"/>
        <w:jc w:val="right"/>
      </w:pPr>
      <w:r>
        <w:t>и атомному надзору</w:t>
      </w:r>
    </w:p>
    <w:p w:rsidR="006B0984" w:rsidRDefault="00C66952">
      <w:pPr>
        <w:pStyle w:val="ConsPlusNormal0"/>
        <w:jc w:val="right"/>
      </w:pPr>
      <w:r>
        <w:t>от 29 января 2025 г. N 29</w:t>
      </w:r>
    </w:p>
    <w:p w:rsidR="006B0984" w:rsidRDefault="006B0984">
      <w:pPr>
        <w:pStyle w:val="ConsPlusNormal0"/>
        <w:jc w:val="center"/>
      </w:pPr>
    </w:p>
    <w:p w:rsidR="006B0984" w:rsidRDefault="00C66952">
      <w:pPr>
        <w:pStyle w:val="ConsPlusTitle0"/>
        <w:jc w:val="center"/>
      </w:pPr>
      <w:bookmarkStart w:id="0" w:name="P34"/>
      <w:bookmarkEnd w:id="0"/>
      <w:r>
        <w:t>ИЗМЕНЕНИЯ</w:t>
      </w:r>
    </w:p>
    <w:p w:rsidR="006B0984" w:rsidRDefault="00C66952">
      <w:pPr>
        <w:pStyle w:val="ConsPlusTitle0"/>
        <w:jc w:val="center"/>
      </w:pPr>
      <w:r>
        <w:t>В ФЕДЕРАЛЬНЫЕ НОРМЫ И ПРАВИЛА В ОБЛАСТИ ПРОМЫШЛЕННОЙ</w:t>
      </w:r>
    </w:p>
    <w:p w:rsidR="006B0984" w:rsidRDefault="00C66952">
      <w:pPr>
        <w:pStyle w:val="ConsPlusTitle0"/>
        <w:jc w:val="center"/>
      </w:pPr>
      <w:r>
        <w:t>БЕЗОПАСНОСТИ "ПРАВИЛА ПРОВЕДЕНИЯ ЭКСПЕРТИЗЫ ПРОМЫШЛЕННОЙ</w:t>
      </w:r>
    </w:p>
    <w:p w:rsidR="006B0984" w:rsidRDefault="00C66952">
      <w:pPr>
        <w:pStyle w:val="ConsPlusTitle0"/>
        <w:jc w:val="center"/>
      </w:pPr>
      <w:r>
        <w:lastRenderedPageBreak/>
        <w:t>БЕЗОПАСНОСТИ", УТВЕРЖДЕННЫЕ ПРИКАЗОМ ФЕДЕРАЛЬНОЙ СЛУЖБЫ</w:t>
      </w:r>
    </w:p>
    <w:p w:rsidR="006B0984" w:rsidRDefault="00C66952">
      <w:pPr>
        <w:pStyle w:val="ConsPlusTitle0"/>
        <w:jc w:val="center"/>
      </w:pPr>
      <w:r>
        <w:t>ПО ЭКОЛОГИЧЕСКОМУ, ТЕХНОЛОГИЧЕСКОМУ И АТОМНОМУ НАДЗОРУ</w:t>
      </w:r>
    </w:p>
    <w:p w:rsidR="006B0984" w:rsidRDefault="00C66952">
      <w:pPr>
        <w:pStyle w:val="ConsPlusTitle0"/>
        <w:jc w:val="center"/>
      </w:pPr>
      <w:r>
        <w:t>ОТ 20 ОКТЯБРЯ 2020 Г. N 420</w:t>
      </w:r>
    </w:p>
    <w:p w:rsidR="006B0984" w:rsidRDefault="006B0984">
      <w:pPr>
        <w:pStyle w:val="ConsPlusNormal0"/>
        <w:jc w:val="center"/>
      </w:pPr>
    </w:p>
    <w:p w:rsidR="006B0984" w:rsidRDefault="00C66952">
      <w:pPr>
        <w:pStyle w:val="ConsPlusNormal0"/>
        <w:ind w:firstLine="540"/>
        <w:jc w:val="both"/>
      </w:pPr>
      <w:r>
        <w:t xml:space="preserve">1. </w:t>
      </w:r>
      <w:hyperlink r:id="rId11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Пункт 16</w:t>
        </w:r>
      </w:hyperlink>
      <w:r>
        <w:t xml:space="preserve"> после слов "связанных с такими </w:t>
      </w:r>
      <w:r>
        <w:t xml:space="preserve">опасными производственными объектами" дополнить словами ", и объектов экспертизы, указанных в </w:t>
      </w: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абзацах втором</w:t>
        </w:r>
      </w:hyperlink>
      <w:r>
        <w:t xml:space="preserve">, </w:t>
      </w:r>
      <w:hyperlink r:id="rId1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третьем</w:t>
        </w:r>
      </w:hyperlink>
      <w:r>
        <w:t xml:space="preserve">, </w:t>
      </w:r>
      <w:hyperlink r:id="rId1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шестом</w:t>
        </w:r>
      </w:hyperlink>
      <w:r>
        <w:t xml:space="preserve">, </w:t>
      </w:r>
      <w:hyperlink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седьмом пункта 1 статьи 13</w:t>
        </w:r>
      </w:hyperlink>
      <w:r>
        <w:t xml:space="preserve"> Федера</w:t>
      </w:r>
      <w:r>
        <w:t>льного закона от 21 июля 1997 г. N 116-ФЗ "О промышленной безопасности опасных производственных объектов", разработчиком которых являлась такая организация".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2. </w:t>
      </w:r>
      <w:hyperlink r:id="rId16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Сноску 11</w:t>
        </w:r>
      </w:hyperlink>
      <w:r>
        <w:t xml:space="preserve"> к пункту 16 изложить в следующей редакции: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"&lt;11&gt; </w:t>
      </w:r>
      <w:hyperlink r:id="rId1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3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</w:t>
      </w:r>
      <w:proofErr w:type="gramStart"/>
      <w:r>
        <w:t>."</w:t>
      </w:r>
      <w:proofErr w:type="gramEnd"/>
      <w:r>
        <w:t>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3. </w:t>
      </w:r>
      <w:hyperlink r:id="rId19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Абзац первый пункта 17</w:t>
        </w:r>
      </w:hyperlink>
      <w:r>
        <w:t xml:space="preserve"> после слов "проводящей экспертизу</w:t>
      </w:r>
      <w:proofErr w:type="gramStart"/>
      <w:r>
        <w:t>,"</w:t>
      </w:r>
      <w:proofErr w:type="gramEnd"/>
      <w:r>
        <w:t xml:space="preserve"> дополнить словами "в письменной форме либо в форме электронного документа, подписанного электронной подписью в соответствии с Федеральным </w:t>
      </w:r>
      <w:hyperlink r:id="rId20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</w:t>
      </w:r>
      <w:r>
        <w:t>онной подписи",".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4. </w:t>
      </w:r>
      <w:hyperlink r:id="rId21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Пункты 23</w:t>
        </w:r>
      </w:hyperlink>
      <w:r>
        <w:t xml:space="preserve"> - </w:t>
      </w:r>
      <w:hyperlink r:id="rId22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27</w:t>
        </w:r>
      </w:hyperlink>
      <w:r>
        <w:t xml:space="preserve"> изложить в следующей редакции: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"23. При проведении экспертизы устанавливается полнота и достоверность относящихся к объекту экспертизы документов, предоставленных заказчиком, оценивается фактическое состояние технических ус</w:t>
      </w:r>
      <w:r>
        <w:t xml:space="preserve">тройств, зданий и сооружений на опасных производственных объектах. При оценке фактического состояния технических устройств, зданий и сооружений на опасных производственных объектах допускается использование информации автоматизированных систем мониторинга </w:t>
      </w:r>
      <w:r>
        <w:t>их технического состояния, применяемых юридическим лицом (индивидуальным предпринимателем), эксплуатирующим опасный производственный объект.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Для оценки фактического состояния зданий и сооружений проводится их обследование.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Техническое диагностирование техн</w:t>
      </w:r>
      <w:r>
        <w:t>ических устрой</w:t>
      </w:r>
      <w:proofErr w:type="gramStart"/>
      <w:r>
        <w:t>ств пр</w:t>
      </w:r>
      <w:proofErr w:type="gramEnd"/>
      <w:r>
        <w:t>оводится для оценки фактического состояния технических устройств в следующих случаях: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1) при проведении экспертизы по истечении срока службы или при превышении количества циклов нагрузки такого технического устройства, установленных его</w:t>
      </w:r>
      <w:r>
        <w:t xml:space="preserve"> производителем, либо 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2) при проведении экспертизы после проведения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3) при обнаружении экспертами дефектов, способных по</w:t>
      </w:r>
      <w:r>
        <w:t>влиять на прочность конструкции, или дефектов неизвестного происхождения.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24. При проведении экспертизы технических устройств экспертом (экспертами) выполняются: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1) анализ документации, относящейся к техническим устройствам (включая акты расследования авар</w:t>
      </w:r>
      <w:r>
        <w:t>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lastRenderedPageBreak/>
        <w:t>2) осмотр технических устройств.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25. Техническое диагностирование технических ус</w:t>
      </w:r>
      <w:r>
        <w:t>тройств должно включать следующие мероприятия: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1) визуальный и измерительный контроль;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2) оперативное (функциональное) диагностирование для получения информации о состоянии, фактических параметрах работы, фактического </w:t>
      </w:r>
      <w:proofErr w:type="spellStart"/>
      <w:r>
        <w:t>нагружения</w:t>
      </w:r>
      <w:proofErr w:type="spellEnd"/>
      <w:r>
        <w:t xml:space="preserve"> технического устройства в р</w:t>
      </w:r>
      <w:r>
        <w:t>еальных условиях эксплуатации;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3) определение повреждающих факторов, механизмов повреждения и восприимчивости материала технического устройства к механизмам повреждения;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4) оценку качества соединений элементов технического устройства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5) выбо</w:t>
      </w:r>
      <w:r>
        <w:t>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6) неразрушающий контроль или разрушающий контроль металла и сварных соеди</w:t>
      </w:r>
      <w:r>
        <w:t>нений технического устройства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7) оценку выявленных дефектов на основании результатов визуального и измерительного контроля, методов неразрушающего или разрушающего контроля;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8) исследование материалов технического устройства;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9)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10) оценку остаточного ресурса (срока службы).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26. При пр</w:t>
      </w:r>
      <w:r>
        <w:t>оведении экспертизы зданий и сооружений экспертом (экспертами) выполняются: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1) анализ: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проектной и исполнительной документации на строительство, реконструкцию здания (сооружения), разрешения на ввод в эксплуатацию здания (сооружения);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документов, удостовер</w:t>
      </w:r>
      <w:r>
        <w:t>яющих качество строительных конструкций и материалов;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актов расследования аварий;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заключений ранее проводимых экспертиз здания (сооружения);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эксплуатационной документации, документации о текущих и капитальных ремонтах, документации об изменениях конструкци</w:t>
      </w:r>
      <w:r>
        <w:t>й зданий (сооружений);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2) осмотр зданий и сооружений.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27. Обследование зданий и сооружений должно включать следующие мероприятия:</w:t>
      </w:r>
    </w:p>
    <w:p w:rsidR="006B0984" w:rsidRDefault="00C66952">
      <w:pPr>
        <w:pStyle w:val="ConsPlusNormal0"/>
        <w:spacing w:before="240"/>
        <w:ind w:firstLine="540"/>
        <w:jc w:val="both"/>
      </w:pPr>
      <w:proofErr w:type="gramStart"/>
      <w:r>
        <w:t xml:space="preserve">1) определение соответствия строительных конструкций зданий и сооружений проектной </w:t>
      </w:r>
      <w:r>
        <w:lastRenderedPageBreak/>
        <w:t>документации и требованиям нормативных прав</w:t>
      </w:r>
      <w:r>
        <w:t>овых актов и документов по стандартизации &lt;13(1)&gt;, выявление дефектов и повреждений элементов и узлов конструкций зданий и сооружений с составлением ведомостей дефектов и повреждений;</w:t>
      </w:r>
      <w:proofErr w:type="gramEnd"/>
    </w:p>
    <w:p w:rsidR="006B0984" w:rsidRDefault="00C66952">
      <w:pPr>
        <w:pStyle w:val="ConsPlusNormal0"/>
        <w:spacing w:before="240"/>
        <w:ind w:firstLine="540"/>
        <w:jc w:val="both"/>
      </w:pPr>
      <w:r>
        <w:t>2) определение пространственного положения строительных конструкций здан</w:t>
      </w:r>
      <w:r>
        <w:t>ий и сооружений, их фактических сечений и состояния соединений;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3) определение степени влияния гидрологических, аэрологических и атмосферных воздействий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4) определение фактической прочности материалов и строительных конструкций зданий и соор</w:t>
      </w:r>
      <w:r>
        <w:t>ужений в сравнении с проектными параметрами;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5) оценку соответствия площади и весовых характеристик </w:t>
      </w:r>
      <w:proofErr w:type="spellStart"/>
      <w:r>
        <w:t>легкосбрасываемых</w:t>
      </w:r>
      <w:proofErr w:type="spellEnd"/>
      <w:r>
        <w:t xml:space="preserve"> конструкций зданий и сооружений требуемой величине, обеспечивающей </w:t>
      </w:r>
      <w:proofErr w:type="spellStart"/>
      <w:r>
        <w:t>взрывоустойчивость</w:t>
      </w:r>
      <w:proofErr w:type="spellEnd"/>
      <w:r>
        <w:t xml:space="preserve"> объекта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6) изучение химической агресс</w:t>
      </w:r>
      <w:r>
        <w:t>ивности производственной среды в отношении материалов строительных конструкций зданий и сооружений;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7) определение степени коррозии арматуры и металлических элементов строительных конструкций (при наличии);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8) поверочный расчет строительных конструкций зда</w:t>
      </w:r>
      <w:r>
        <w:t>ний и сооружений, учитывающий выявленные при обследовании отклонения, дефекты и повреждения, фактические (или прогнозируемые) нагрузки и свойства материалов этих конструкций;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>9) оценку остаточной несущей способности и пригодности зданий и сооружений к даль</w:t>
      </w:r>
      <w:r>
        <w:t>нейшей эксплуатации</w:t>
      </w:r>
      <w:proofErr w:type="gramStart"/>
      <w:r>
        <w:t>.".</w:t>
      </w:r>
      <w:proofErr w:type="gramEnd"/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5. </w:t>
      </w:r>
      <w:hyperlink r:id="rId23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Дополнить</w:t>
        </w:r>
      </w:hyperlink>
      <w:r>
        <w:t xml:space="preserve"> сноской 13(1) к подпункту 1 пункта 27 следующего содержания: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"&lt;13(1)&gt; </w:t>
      </w:r>
      <w:hyperlink r:id="rId24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</w:t>
      </w:r>
      <w:r>
        <w:t xml:space="preserve"> 29 июня 2015 г. N 162-ФЗ "О стандартизации в Российской Федерации"</w:t>
      </w:r>
      <w:proofErr w:type="gramStart"/>
      <w:r>
        <w:t>."</w:t>
      </w:r>
      <w:proofErr w:type="gramEnd"/>
      <w:r>
        <w:t>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6. </w:t>
      </w:r>
      <w:hyperlink r:id="rId25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Подпункт 6 пункта 34</w:t>
        </w:r>
      </w:hyperlink>
      <w:r>
        <w:t xml:space="preserve"> после слов "необходимую для идентифик</w:t>
      </w:r>
      <w:r>
        <w:t>ации</w:t>
      </w:r>
      <w:proofErr w:type="gramStart"/>
      <w:r>
        <w:t>,"</w:t>
      </w:r>
      <w:proofErr w:type="gramEnd"/>
      <w:r>
        <w:t xml:space="preserve"> дополнить словами "и (или) информацию об отсутствии (непредставлении) технической документации на технические устройства, проектной документации на здания или сооружения (с указанием причин, в том числе в случае утраты или порчи такой документации),</w:t>
      </w:r>
      <w:r>
        <w:t>".</w:t>
      </w:r>
    </w:p>
    <w:p w:rsidR="006B0984" w:rsidRDefault="00C66952">
      <w:pPr>
        <w:pStyle w:val="ConsPlusNormal0"/>
        <w:spacing w:before="240"/>
        <w:ind w:firstLine="540"/>
        <w:jc w:val="both"/>
      </w:pPr>
      <w:r>
        <w:t xml:space="preserve">7. </w:t>
      </w:r>
      <w:hyperlink r:id="rId26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-------">
        <w:r>
          <w:rPr>
            <w:color w:val="0000FF"/>
          </w:rPr>
          <w:t>Пункт 40</w:t>
        </w:r>
      </w:hyperlink>
      <w:r>
        <w:t xml:space="preserve"> после слов "заключение экспертизы" дополнить словами "</w:t>
      </w:r>
      <w:r>
        <w:t>не позднее 90 календарных дней со дня его подписания руководителем орга</w:t>
      </w:r>
      <w:r w:rsidR="00CE63B7">
        <w:t>низации, проводившей экспертизу</w:t>
      </w:r>
      <w:r>
        <w:t>".</w:t>
      </w:r>
    </w:p>
    <w:p w:rsidR="006B0984" w:rsidRDefault="006B0984">
      <w:pPr>
        <w:pStyle w:val="ConsPlusNormal0"/>
        <w:jc w:val="both"/>
      </w:pPr>
    </w:p>
    <w:p w:rsidR="006B0984" w:rsidRDefault="006B0984">
      <w:pPr>
        <w:pStyle w:val="ConsPlusNormal0"/>
        <w:jc w:val="both"/>
      </w:pPr>
    </w:p>
    <w:p w:rsidR="006B0984" w:rsidRDefault="006B09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6B0984" w:rsidSect="00CE63B7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52" w:rsidRDefault="00C66952">
      <w:r>
        <w:separator/>
      </w:r>
    </w:p>
  </w:endnote>
  <w:endnote w:type="continuationSeparator" w:id="0">
    <w:p w:rsidR="00C66952" w:rsidRDefault="00C6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4" w:rsidRDefault="006B0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984" w:rsidRDefault="00C6695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4" w:rsidRDefault="006B0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984" w:rsidRDefault="00C6695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52" w:rsidRDefault="00C66952">
      <w:r>
        <w:separator/>
      </w:r>
    </w:p>
  </w:footnote>
  <w:footnote w:type="continuationSeparator" w:id="0">
    <w:p w:rsidR="00C66952" w:rsidRDefault="00C6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0984" w:rsidTr="00CE63B7">
      <w:tblPrEx>
        <w:tblCellMar>
          <w:top w:w="0" w:type="dxa"/>
          <w:bottom w:w="0" w:type="dxa"/>
        </w:tblCellMar>
      </w:tblPrEx>
      <w:trPr>
        <w:trHeight w:hRule="exact" w:val="426"/>
      </w:trPr>
      <w:tc>
        <w:tcPr>
          <w:tcW w:w="2700" w:type="pct"/>
          <w:vAlign w:val="center"/>
        </w:tcPr>
        <w:p w:rsidR="006B0984" w:rsidRDefault="006B098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B0984" w:rsidRDefault="006B098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B0984" w:rsidRDefault="006B0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984" w:rsidRDefault="006B098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0984" w:rsidTr="00CE63B7">
      <w:tblPrEx>
        <w:tblCellMar>
          <w:top w:w="0" w:type="dxa"/>
          <w:bottom w:w="0" w:type="dxa"/>
        </w:tblCellMar>
      </w:tblPrEx>
      <w:trPr>
        <w:trHeight w:hRule="exact" w:val="851"/>
      </w:trPr>
      <w:tc>
        <w:tcPr>
          <w:tcW w:w="2700" w:type="pct"/>
          <w:vAlign w:val="center"/>
        </w:tcPr>
        <w:p w:rsidR="006B0984" w:rsidRDefault="006B098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B0984" w:rsidRDefault="006B098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B0984" w:rsidRDefault="006B0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0984" w:rsidRDefault="006B09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4"/>
    <w:rsid w:val="006B0984"/>
    <w:rsid w:val="00C66952"/>
    <w:rsid w:val="00C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E6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3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63B7"/>
  </w:style>
  <w:style w:type="paragraph" w:styleId="a7">
    <w:name w:val="footer"/>
    <w:basedOn w:val="a"/>
    <w:link w:val="a8"/>
    <w:uiPriority w:val="99"/>
    <w:unhideWhenUsed/>
    <w:rsid w:val="00CE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E6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3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63B7"/>
  </w:style>
  <w:style w:type="paragraph" w:styleId="a7">
    <w:name w:val="footer"/>
    <w:basedOn w:val="a"/>
    <w:link w:val="a8"/>
    <w:uiPriority w:val="99"/>
    <w:unhideWhenUsed/>
    <w:rsid w:val="00CE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878&amp;date=02.09.2025&amp;dst=100266&amp;field=134" TargetMode="External"/><Relationship Id="rId13" Type="http://schemas.openxmlformats.org/officeDocument/2006/relationships/hyperlink" Target="https://login.consultant.ru/link/?req=doc&amp;base=LAW&amp;n=483176&amp;date=02.09.2025&amp;dst=134&amp;field=134" TargetMode="External"/><Relationship Id="rId18" Type="http://schemas.openxmlformats.org/officeDocument/2006/relationships/hyperlink" Target="https://login.consultant.ru/link/?req=doc&amp;base=LAW&amp;n=483176&amp;date=02.09.2025&amp;dst=267&amp;field=134" TargetMode="External"/><Relationship Id="rId26" Type="http://schemas.openxmlformats.org/officeDocument/2006/relationships/hyperlink" Target="https://login.consultant.ru/link/?req=doc&amp;base=LAW&amp;n=473274&amp;date=02.09.2025&amp;dst=10016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274&amp;date=02.09.2025&amp;dst=1&amp;field=134" TargetMode="External"/><Relationship Id="rId7" Type="http://schemas.openxmlformats.org/officeDocument/2006/relationships/hyperlink" Target="https://login.consultant.ru/link/?req=doc&amp;base=LAW&amp;n=483176&amp;date=02.09.2025&amp;dst=386&amp;field=134" TargetMode="External"/><Relationship Id="rId12" Type="http://schemas.openxmlformats.org/officeDocument/2006/relationships/hyperlink" Target="https://login.consultant.ru/link/?req=doc&amp;base=LAW&amp;n=483176&amp;date=02.09.2025&amp;dst=133&amp;field=134" TargetMode="External"/><Relationship Id="rId17" Type="http://schemas.openxmlformats.org/officeDocument/2006/relationships/hyperlink" Target="https://login.consultant.ru/link/?req=doc&amp;base=LAW&amp;n=483176&amp;date=02.09.2025&amp;dst=265&amp;field=134" TargetMode="External"/><Relationship Id="rId25" Type="http://schemas.openxmlformats.org/officeDocument/2006/relationships/hyperlink" Target="https://login.consultant.ru/link/?req=doc&amp;base=LAW&amp;n=473274&amp;date=02.09.2025&amp;dst=2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3274&amp;date=02.09.2025&amp;dst=100073&amp;field=134" TargetMode="External"/><Relationship Id="rId20" Type="http://schemas.openxmlformats.org/officeDocument/2006/relationships/hyperlink" Target="https://login.consultant.ru/link/?req=doc&amp;base=LAW&amp;n=494998&amp;date=02.09.2025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3274&amp;date=02.09.2025&amp;dst=100071&amp;field=134" TargetMode="External"/><Relationship Id="rId24" Type="http://schemas.openxmlformats.org/officeDocument/2006/relationships/hyperlink" Target="https://login.consultant.ru/link/?req=doc&amp;base=LAW&amp;n=372899&amp;date=02.09.2025&amp;dst=100169&amp;field=13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76&amp;date=02.09.2025&amp;dst=138&amp;field=134" TargetMode="External"/><Relationship Id="rId23" Type="http://schemas.openxmlformats.org/officeDocument/2006/relationships/hyperlink" Target="https://login.consultant.ru/link/?req=doc&amp;base=LAW&amp;n=473274&amp;date=02.09.2025&amp;dst=100010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3274&amp;date=02.09.2025&amp;dst=100010&amp;field=134" TargetMode="External"/><Relationship Id="rId19" Type="http://schemas.openxmlformats.org/officeDocument/2006/relationships/hyperlink" Target="https://login.consultant.ru/link/?req=doc&amp;base=LAW&amp;n=473274&amp;date=02.09.2025&amp;dst=100074&amp;field=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878&amp;date=02.09.2025&amp;dst=100240&amp;field=134" TargetMode="External"/><Relationship Id="rId14" Type="http://schemas.openxmlformats.org/officeDocument/2006/relationships/hyperlink" Target="https://login.consultant.ru/link/?req=doc&amp;base=LAW&amp;n=483176&amp;date=02.09.2025&amp;dst=137&amp;field=134" TargetMode="External"/><Relationship Id="rId22" Type="http://schemas.openxmlformats.org/officeDocument/2006/relationships/hyperlink" Target="https://login.consultant.ru/link/?req=doc&amp;base=LAW&amp;n=473274&amp;date=02.09.2025&amp;dst=100114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29.01.2025 N 29
"О внесении изменений в федеральные нормы и правила в области промышленной безопасности "Правила проведения экспертизы промышленной безопасности", утвержденные приказом Федеральной службы по экологическому, технолог</vt:lpstr>
    </vt:vector>
  </TitlesOfParts>
  <Company>КонсультантПлюс Версия 4024.00.50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29
"О внесении изменений в федеральные нормы и правила в области промышленной безопасности "Правила проведения экспертизы промышленной безопасности", утвержденные приказом Федеральной службы по экологическому, технологическому и атомному надзору от 20 октября 2020 г. N 420"
(Зарегистрировано в Минюсте России 24.04.2025 N 81963)</dc:title>
  <dc:creator>Оксана Федотова</dc:creator>
  <cp:lastModifiedBy>Оксана Федотова</cp:lastModifiedBy>
  <cp:revision>2</cp:revision>
  <dcterms:created xsi:type="dcterms:W3CDTF">2025-09-01T22:35:00Z</dcterms:created>
  <dcterms:modified xsi:type="dcterms:W3CDTF">2025-09-01T22:35:00Z</dcterms:modified>
</cp:coreProperties>
</file>